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E8" w:rsidRDefault="00BE4BE8" w:rsidP="00BE4BE8">
      <w:pPr>
        <w:spacing w:line="360" w:lineRule="auto"/>
        <w:rPr>
          <w:rFonts w:eastAsia="仿宋_GB2312"/>
          <w:b/>
          <w:sz w:val="36"/>
          <w:szCs w:val="36"/>
        </w:rPr>
      </w:pPr>
      <w:r>
        <w:rPr>
          <w:rFonts w:eastAsia="仿宋_GB2312"/>
          <w:b/>
          <w:sz w:val="36"/>
          <w:szCs w:val="36"/>
        </w:rPr>
        <w:t>附件</w:t>
      </w:r>
      <w:r>
        <w:rPr>
          <w:rFonts w:eastAsia="仿宋_GB2312"/>
          <w:b/>
          <w:sz w:val="36"/>
          <w:szCs w:val="36"/>
        </w:rPr>
        <w:t xml:space="preserve"> </w:t>
      </w:r>
    </w:p>
    <w:p w:rsidR="00BE4BE8" w:rsidRDefault="00BE4BE8" w:rsidP="00BE4BE8">
      <w:pPr>
        <w:spacing w:line="360" w:lineRule="auto"/>
        <w:ind w:leftChars="400" w:left="924" w:hangingChars="28" w:hanging="84"/>
        <w:jc w:val="center"/>
        <w:rPr>
          <w:rFonts w:eastAsia="仿宋_GB2312"/>
          <w:b/>
          <w:sz w:val="30"/>
          <w:szCs w:val="30"/>
        </w:rPr>
      </w:pPr>
      <w:r>
        <w:rPr>
          <w:rFonts w:eastAsia="仿宋_GB2312"/>
          <w:b/>
          <w:sz w:val="30"/>
          <w:szCs w:val="30"/>
        </w:rPr>
        <w:t>天线与微波技术重点实验室学术年会</w:t>
      </w:r>
    </w:p>
    <w:p w:rsidR="00BE4BE8" w:rsidRDefault="00BE4BE8" w:rsidP="00BE4BE8">
      <w:pPr>
        <w:spacing w:line="360" w:lineRule="auto"/>
        <w:ind w:leftChars="400" w:left="924" w:hangingChars="28" w:hanging="84"/>
        <w:jc w:val="center"/>
        <w:rPr>
          <w:rFonts w:eastAsia="仿宋_GB2312"/>
          <w:b/>
          <w:sz w:val="30"/>
          <w:szCs w:val="30"/>
        </w:rPr>
      </w:pPr>
      <w:r>
        <w:rPr>
          <w:rFonts w:eastAsia="仿宋_GB2312"/>
          <w:b/>
          <w:sz w:val="30"/>
          <w:szCs w:val="30"/>
        </w:rPr>
        <w:t>论文征集与优秀论文</w:t>
      </w:r>
      <w:r>
        <w:rPr>
          <w:rFonts w:eastAsia="仿宋_GB2312" w:hint="eastAsia"/>
          <w:b/>
          <w:sz w:val="30"/>
          <w:szCs w:val="30"/>
        </w:rPr>
        <w:t>、优秀指导教师</w:t>
      </w:r>
      <w:r>
        <w:rPr>
          <w:rFonts w:eastAsia="仿宋_GB2312"/>
          <w:b/>
          <w:sz w:val="30"/>
          <w:szCs w:val="30"/>
        </w:rPr>
        <w:t>评选奖励办法</w:t>
      </w:r>
    </w:p>
    <w:p w:rsidR="00BE4BE8" w:rsidRDefault="00BE4BE8" w:rsidP="00BE4BE8">
      <w:pPr>
        <w:spacing w:line="360" w:lineRule="auto"/>
        <w:ind w:leftChars="400" w:left="907" w:hangingChars="28" w:hanging="67"/>
        <w:jc w:val="center"/>
        <w:rPr>
          <w:rFonts w:eastAsia="仿宋_GB2312"/>
          <w:sz w:val="24"/>
        </w:rPr>
      </w:pPr>
    </w:p>
    <w:p w:rsidR="00BE4BE8" w:rsidRDefault="00BE4BE8" w:rsidP="00BE4BE8">
      <w:pPr>
        <w:spacing w:line="360" w:lineRule="auto"/>
        <w:ind w:firstLineChars="218" w:firstLine="523"/>
        <w:rPr>
          <w:rFonts w:eastAsia="仿宋_GB2312"/>
          <w:sz w:val="24"/>
        </w:rPr>
      </w:pPr>
      <w:r>
        <w:rPr>
          <w:rFonts w:eastAsia="仿宋_GB2312"/>
          <w:sz w:val="24"/>
        </w:rPr>
        <w:t>（一）研究生学术年会论文征集对象</w:t>
      </w:r>
    </w:p>
    <w:p w:rsidR="00BE4BE8" w:rsidRDefault="00BE4BE8" w:rsidP="00BE4BE8">
      <w:pPr>
        <w:spacing w:line="360" w:lineRule="auto"/>
        <w:ind w:firstLineChars="218" w:firstLine="523"/>
        <w:rPr>
          <w:rFonts w:eastAsia="仿宋_GB2312"/>
          <w:sz w:val="24"/>
        </w:rPr>
      </w:pPr>
      <w:r>
        <w:rPr>
          <w:rFonts w:eastAsia="仿宋_GB2312"/>
          <w:sz w:val="24"/>
        </w:rPr>
        <w:t>重点实验室</w:t>
      </w:r>
      <w:r>
        <w:rPr>
          <w:rFonts w:eastAsia="仿宋_GB2312" w:hint="eastAsia"/>
          <w:sz w:val="24"/>
        </w:rPr>
        <w:t>成员、</w:t>
      </w:r>
      <w:r>
        <w:rPr>
          <w:rFonts w:eastAsia="仿宋_GB2312"/>
          <w:sz w:val="24"/>
        </w:rPr>
        <w:t>在读硕士</w:t>
      </w:r>
      <w:r>
        <w:rPr>
          <w:rFonts w:eastAsia="仿宋_GB2312" w:hint="eastAsia"/>
          <w:sz w:val="24"/>
        </w:rPr>
        <w:t>与</w:t>
      </w:r>
      <w:r>
        <w:rPr>
          <w:rFonts w:eastAsia="仿宋_GB2312"/>
          <w:sz w:val="24"/>
        </w:rPr>
        <w:t>博士研究生</w:t>
      </w:r>
      <w:r>
        <w:rPr>
          <w:rFonts w:eastAsia="仿宋_GB2312" w:hint="eastAsia"/>
          <w:sz w:val="24"/>
        </w:rPr>
        <w:t>、部分本科生</w:t>
      </w:r>
      <w:r>
        <w:rPr>
          <w:rFonts w:eastAsia="仿宋_GB2312"/>
          <w:sz w:val="24"/>
        </w:rPr>
        <w:t>。</w:t>
      </w:r>
    </w:p>
    <w:p w:rsidR="00BE4BE8" w:rsidRDefault="00BE4BE8" w:rsidP="00BE4BE8">
      <w:pPr>
        <w:spacing w:line="360" w:lineRule="auto"/>
        <w:ind w:firstLineChars="218" w:firstLine="523"/>
        <w:rPr>
          <w:rFonts w:eastAsia="仿宋_GB2312"/>
          <w:sz w:val="24"/>
        </w:rPr>
      </w:pPr>
      <w:r>
        <w:rPr>
          <w:rFonts w:eastAsia="仿宋_GB2312"/>
          <w:sz w:val="24"/>
        </w:rPr>
        <w:t>（二）学术年会参选论文的要求</w:t>
      </w:r>
    </w:p>
    <w:p w:rsidR="00BE4BE8" w:rsidRDefault="00BE4BE8" w:rsidP="00BE4BE8">
      <w:pPr>
        <w:spacing w:line="360" w:lineRule="auto"/>
        <w:ind w:firstLineChars="218" w:firstLine="523"/>
        <w:rPr>
          <w:rFonts w:eastAsia="仿宋_GB2312"/>
          <w:sz w:val="24"/>
        </w:rPr>
      </w:pPr>
      <w:r>
        <w:rPr>
          <w:rFonts w:eastAsia="仿宋_GB2312"/>
          <w:sz w:val="24"/>
        </w:rPr>
        <w:t>1</w:t>
      </w:r>
      <w:r>
        <w:rPr>
          <w:rFonts w:eastAsia="仿宋_GB2312"/>
          <w:sz w:val="24"/>
        </w:rPr>
        <w:t>、年会参加者原则上需以第一作者提交与大会议题相关学术论文一篇。论文要求反映研究生主要研究内容及研究成果，突出作者的见解和创新点，具有一定的理论和实际应用价值。</w:t>
      </w:r>
    </w:p>
    <w:p w:rsidR="00BE4BE8" w:rsidRDefault="00BE4BE8" w:rsidP="00BE4BE8">
      <w:pPr>
        <w:spacing w:line="360" w:lineRule="auto"/>
        <w:ind w:firstLineChars="218" w:firstLine="523"/>
        <w:rPr>
          <w:rFonts w:eastAsia="仿宋_GB2312"/>
          <w:sz w:val="24"/>
        </w:rPr>
      </w:pPr>
      <w:r>
        <w:rPr>
          <w:rFonts w:eastAsia="仿宋_GB2312"/>
          <w:sz w:val="24"/>
        </w:rPr>
        <w:t>2</w:t>
      </w:r>
      <w:r>
        <w:rPr>
          <w:rFonts w:eastAsia="仿宋_GB2312"/>
          <w:sz w:val="24"/>
        </w:rPr>
        <w:t>、</w:t>
      </w:r>
      <w:r>
        <w:rPr>
          <w:rFonts w:eastAsia="仿宋_GB2312" w:hint="eastAsia"/>
          <w:sz w:val="24"/>
        </w:rPr>
        <w:t>在读研究生所</w:t>
      </w:r>
      <w:r>
        <w:rPr>
          <w:rFonts w:eastAsia="仿宋_GB2312"/>
          <w:sz w:val="24"/>
        </w:rPr>
        <w:t>提交年会的学术论文一般为未正式发表的论文，中英文均可。最近一年已发表的高水平期刊论文（</w:t>
      </w:r>
      <w:r>
        <w:rPr>
          <w:rFonts w:eastAsia="仿宋_GB2312"/>
          <w:sz w:val="24"/>
        </w:rPr>
        <w:t>JCR1-2</w:t>
      </w:r>
      <w:r>
        <w:rPr>
          <w:rFonts w:eastAsia="仿宋_GB2312"/>
          <w:sz w:val="24"/>
        </w:rPr>
        <w:t>区</w:t>
      </w:r>
      <w:r>
        <w:rPr>
          <w:rFonts w:eastAsia="仿宋_GB2312" w:hint="eastAsia"/>
          <w:sz w:val="24"/>
        </w:rPr>
        <w:t>或</w:t>
      </w:r>
      <w:r>
        <w:rPr>
          <w:rFonts w:eastAsia="仿宋_GB2312"/>
          <w:sz w:val="24"/>
        </w:rPr>
        <w:t>IEEE</w:t>
      </w:r>
      <w:r>
        <w:rPr>
          <w:rFonts w:eastAsia="仿宋_GB2312" w:hint="eastAsia"/>
          <w:sz w:val="24"/>
        </w:rPr>
        <w:t xml:space="preserve"> </w:t>
      </w:r>
      <w:r>
        <w:rPr>
          <w:rFonts w:eastAsia="仿宋_GB2312"/>
          <w:sz w:val="24"/>
        </w:rPr>
        <w:t>Transaction</w:t>
      </w:r>
      <w:r>
        <w:rPr>
          <w:rFonts w:eastAsia="仿宋_GB2312"/>
          <w:sz w:val="24"/>
        </w:rPr>
        <w:t>期刊）可</w:t>
      </w:r>
      <w:r>
        <w:rPr>
          <w:rFonts w:eastAsia="仿宋_GB2312" w:hint="eastAsia"/>
          <w:sz w:val="24"/>
        </w:rPr>
        <w:t>直接作为</w:t>
      </w:r>
      <w:r>
        <w:rPr>
          <w:rFonts w:eastAsia="仿宋_GB2312"/>
          <w:sz w:val="24"/>
        </w:rPr>
        <w:t>大会交流并参与优秀论文评审，但不进论文集，不推荐至</w:t>
      </w:r>
      <w:r>
        <w:rPr>
          <w:rFonts w:eastAsia="仿宋_GB2312" w:hint="eastAsia"/>
          <w:sz w:val="24"/>
        </w:rPr>
        <w:t>西安电子科技大学</w:t>
      </w:r>
      <w:r>
        <w:rPr>
          <w:rFonts w:eastAsia="仿宋_GB2312"/>
          <w:sz w:val="24"/>
        </w:rPr>
        <w:t>优秀论文评选。</w:t>
      </w:r>
      <w:r>
        <w:rPr>
          <w:rFonts w:eastAsia="仿宋_GB2312" w:hint="eastAsia"/>
          <w:sz w:val="24"/>
        </w:rPr>
        <w:t>学术年会论文集收录论文不影响该论文的公开发表。</w:t>
      </w:r>
    </w:p>
    <w:p w:rsidR="00BE4BE8" w:rsidRDefault="00BE4BE8" w:rsidP="00BE4BE8">
      <w:pPr>
        <w:spacing w:line="360" w:lineRule="auto"/>
        <w:ind w:firstLineChars="218" w:firstLine="523"/>
        <w:rPr>
          <w:rFonts w:eastAsia="仿宋_GB2312" w:hint="eastAsia"/>
          <w:sz w:val="24"/>
        </w:rPr>
      </w:pPr>
      <w:r>
        <w:rPr>
          <w:rFonts w:eastAsia="仿宋_GB2312"/>
          <w:sz w:val="24"/>
        </w:rPr>
        <w:t>3</w:t>
      </w:r>
      <w:r>
        <w:rPr>
          <w:rFonts w:eastAsia="仿宋_GB2312"/>
          <w:sz w:val="24"/>
        </w:rPr>
        <w:t>、征集</w:t>
      </w:r>
      <w:r>
        <w:rPr>
          <w:rFonts w:eastAsia="仿宋_GB2312" w:hint="eastAsia"/>
          <w:sz w:val="24"/>
        </w:rPr>
        <w:t>到</w:t>
      </w:r>
      <w:r>
        <w:rPr>
          <w:rFonts w:eastAsia="仿宋_GB2312"/>
          <w:sz w:val="24"/>
        </w:rPr>
        <w:t>的稿件</w:t>
      </w:r>
      <w:r>
        <w:rPr>
          <w:rFonts w:eastAsia="仿宋_GB2312" w:hint="eastAsia"/>
          <w:sz w:val="24"/>
        </w:rPr>
        <w:t>由论文初审专家组</w:t>
      </w:r>
      <w:r>
        <w:rPr>
          <w:rFonts w:eastAsia="仿宋_GB2312"/>
          <w:sz w:val="24"/>
        </w:rPr>
        <w:t>按主题分类并</w:t>
      </w:r>
      <w:r>
        <w:rPr>
          <w:rFonts w:eastAsia="仿宋_GB2312" w:hint="eastAsia"/>
          <w:sz w:val="24"/>
        </w:rPr>
        <w:t>进行初步选择，</w:t>
      </w:r>
      <w:r>
        <w:rPr>
          <w:rFonts w:eastAsia="仿宋_GB2312"/>
          <w:sz w:val="24"/>
        </w:rPr>
        <w:t>择优进行大会交流</w:t>
      </w:r>
      <w:r>
        <w:rPr>
          <w:rFonts w:eastAsia="仿宋_GB2312" w:hint="eastAsia"/>
          <w:sz w:val="24"/>
        </w:rPr>
        <w:t>（约</w:t>
      </w:r>
      <w:r>
        <w:rPr>
          <w:rFonts w:eastAsia="仿宋_GB2312" w:hint="eastAsia"/>
          <w:sz w:val="24"/>
        </w:rPr>
        <w:t>20~30</w:t>
      </w:r>
      <w:r>
        <w:rPr>
          <w:rFonts w:eastAsia="仿宋_GB2312" w:hint="eastAsia"/>
          <w:sz w:val="24"/>
        </w:rPr>
        <w:t>篇）</w:t>
      </w:r>
      <w:r>
        <w:rPr>
          <w:rFonts w:eastAsia="仿宋_GB2312"/>
          <w:sz w:val="24"/>
        </w:rPr>
        <w:t>，大会交流的论文</w:t>
      </w:r>
      <w:r>
        <w:rPr>
          <w:rFonts w:eastAsia="仿宋_GB2312" w:hint="eastAsia"/>
          <w:sz w:val="24"/>
        </w:rPr>
        <w:t>即</w:t>
      </w:r>
      <w:r>
        <w:rPr>
          <w:rFonts w:eastAsia="仿宋_GB2312"/>
          <w:sz w:val="24"/>
        </w:rPr>
        <w:t>为优秀论文评选候选论文。</w:t>
      </w:r>
    </w:p>
    <w:p w:rsidR="00BE4BE8" w:rsidRDefault="00BE4BE8" w:rsidP="00BE4BE8">
      <w:pPr>
        <w:spacing w:line="360" w:lineRule="auto"/>
        <w:ind w:firstLineChars="218" w:firstLine="523"/>
        <w:rPr>
          <w:rFonts w:eastAsia="仿宋_GB2312"/>
          <w:sz w:val="24"/>
        </w:rPr>
      </w:pPr>
      <w:r>
        <w:rPr>
          <w:rFonts w:eastAsia="仿宋_GB2312" w:hint="eastAsia"/>
          <w:sz w:val="24"/>
        </w:rPr>
        <w:t>4</w:t>
      </w:r>
      <w:r>
        <w:rPr>
          <w:rFonts w:eastAsia="仿宋_GB2312" w:hint="eastAsia"/>
          <w:sz w:val="24"/>
        </w:rPr>
        <w:t>、大会交流时，每篇论文由</w:t>
      </w:r>
      <w:r>
        <w:rPr>
          <w:rFonts w:eastAsia="仿宋_GB2312" w:hint="eastAsia"/>
          <w:sz w:val="24"/>
        </w:rPr>
        <w:t>3~5</w:t>
      </w:r>
      <w:r>
        <w:rPr>
          <w:rFonts w:eastAsia="仿宋_GB2312" w:hint="eastAsia"/>
          <w:sz w:val="24"/>
        </w:rPr>
        <w:t>位专家进行点评打分，评选出优秀论文，并予以奖励。</w:t>
      </w:r>
    </w:p>
    <w:p w:rsidR="00BE4BE8" w:rsidRDefault="00BE4BE8" w:rsidP="00BE4BE8">
      <w:pPr>
        <w:spacing w:line="360" w:lineRule="auto"/>
        <w:ind w:firstLineChars="218" w:firstLine="523"/>
        <w:rPr>
          <w:rFonts w:eastAsia="仿宋_GB2312"/>
          <w:sz w:val="24"/>
        </w:rPr>
      </w:pPr>
      <w:r>
        <w:rPr>
          <w:rFonts w:eastAsia="仿宋_GB2312"/>
          <w:sz w:val="24"/>
        </w:rPr>
        <w:t>3</w:t>
      </w:r>
      <w:r>
        <w:rPr>
          <w:rFonts w:eastAsia="仿宋_GB2312"/>
          <w:sz w:val="24"/>
        </w:rPr>
        <w:t>、</w:t>
      </w:r>
      <w:r>
        <w:rPr>
          <w:rFonts w:eastAsia="仿宋_GB2312" w:hint="eastAsia"/>
          <w:sz w:val="24"/>
        </w:rPr>
        <w:t>研究生所</w:t>
      </w:r>
      <w:r>
        <w:rPr>
          <w:rFonts w:eastAsia="仿宋_GB2312"/>
          <w:sz w:val="24"/>
        </w:rPr>
        <w:t>提交学术年会的论文应是经过导师认真指导，达到发表条件的论文。</w:t>
      </w:r>
    </w:p>
    <w:p w:rsidR="00BE4BE8" w:rsidRDefault="00BE4BE8" w:rsidP="00BE4BE8">
      <w:pPr>
        <w:spacing w:line="360" w:lineRule="auto"/>
        <w:ind w:firstLineChars="218" w:firstLine="523"/>
        <w:rPr>
          <w:rFonts w:eastAsia="仿宋_GB2312"/>
          <w:sz w:val="24"/>
          <w:u w:val="single"/>
        </w:rPr>
      </w:pPr>
      <w:r>
        <w:rPr>
          <w:rFonts w:eastAsia="仿宋_GB2312"/>
          <w:sz w:val="24"/>
          <w:u w:val="single"/>
        </w:rPr>
        <w:t>4</w:t>
      </w:r>
      <w:r>
        <w:rPr>
          <w:rFonts w:eastAsia="仿宋_GB2312"/>
          <w:sz w:val="24"/>
          <w:u w:val="single"/>
        </w:rPr>
        <w:t>、</w:t>
      </w:r>
      <w:r>
        <w:rPr>
          <w:rFonts w:eastAsia="仿宋_GB2312"/>
          <w:b/>
          <w:sz w:val="24"/>
          <w:u w:val="single"/>
        </w:rPr>
        <w:t>重点实验室成员导师名下二年级</w:t>
      </w:r>
      <w:r>
        <w:rPr>
          <w:rFonts w:eastAsia="仿宋_GB2312" w:hint="eastAsia"/>
          <w:b/>
          <w:sz w:val="24"/>
          <w:u w:val="single"/>
        </w:rPr>
        <w:t>及二年级</w:t>
      </w:r>
      <w:r>
        <w:rPr>
          <w:rFonts w:eastAsia="仿宋_GB2312"/>
          <w:b/>
          <w:sz w:val="24"/>
          <w:u w:val="single"/>
        </w:rPr>
        <w:t>以上博士研究生原则上应</w:t>
      </w:r>
      <w:r>
        <w:rPr>
          <w:rFonts w:eastAsia="仿宋_GB2312"/>
          <w:b/>
          <w:color w:val="FF0000"/>
          <w:sz w:val="24"/>
          <w:u w:val="single"/>
        </w:rPr>
        <w:t>至少提交</w:t>
      </w:r>
      <w:r>
        <w:rPr>
          <w:rFonts w:eastAsia="仿宋_GB2312" w:hint="eastAsia"/>
          <w:b/>
          <w:sz w:val="24"/>
          <w:u w:val="single"/>
        </w:rPr>
        <w:t>1</w:t>
      </w:r>
      <w:r>
        <w:rPr>
          <w:rFonts w:eastAsia="仿宋_GB2312"/>
          <w:b/>
          <w:sz w:val="24"/>
          <w:u w:val="single"/>
        </w:rPr>
        <w:t>篇论文，其余研究生自愿</w:t>
      </w:r>
      <w:r>
        <w:rPr>
          <w:rFonts w:eastAsia="仿宋_GB2312" w:hint="eastAsia"/>
          <w:b/>
          <w:sz w:val="24"/>
          <w:u w:val="single"/>
        </w:rPr>
        <w:t>，欢迎重点实验室固定人员积极投稿</w:t>
      </w:r>
      <w:r>
        <w:rPr>
          <w:rFonts w:eastAsia="仿宋_GB2312"/>
          <w:b/>
          <w:sz w:val="24"/>
        </w:rPr>
        <w:t>。</w:t>
      </w:r>
    </w:p>
    <w:p w:rsidR="00BE4BE8" w:rsidRDefault="00BE4BE8" w:rsidP="00BE4BE8">
      <w:pPr>
        <w:spacing w:line="360" w:lineRule="auto"/>
        <w:ind w:firstLineChars="218" w:firstLine="523"/>
        <w:rPr>
          <w:rFonts w:eastAsia="仿宋_GB2312"/>
          <w:sz w:val="24"/>
        </w:rPr>
      </w:pPr>
      <w:r>
        <w:rPr>
          <w:rFonts w:eastAsia="仿宋_GB2312"/>
          <w:sz w:val="24"/>
        </w:rPr>
        <w:t>5</w:t>
      </w:r>
      <w:r>
        <w:rPr>
          <w:rFonts w:eastAsia="仿宋_GB2312"/>
          <w:sz w:val="24"/>
        </w:rPr>
        <w:t>、论文规定统一用</w:t>
      </w:r>
      <w:r>
        <w:rPr>
          <w:rFonts w:eastAsia="仿宋_GB2312"/>
          <w:sz w:val="24"/>
        </w:rPr>
        <w:t>A4</w:t>
      </w:r>
      <w:r>
        <w:rPr>
          <w:rFonts w:eastAsia="仿宋_GB2312"/>
          <w:sz w:val="24"/>
        </w:rPr>
        <w:t>复印纸激光打印，字数以</w:t>
      </w:r>
      <w:r>
        <w:rPr>
          <w:rFonts w:eastAsia="仿宋_GB2312"/>
          <w:sz w:val="24"/>
        </w:rPr>
        <w:t>5000</w:t>
      </w:r>
      <w:r>
        <w:rPr>
          <w:rFonts w:eastAsia="仿宋_GB2312"/>
          <w:sz w:val="24"/>
        </w:rPr>
        <w:t>字为限，论文前有</w:t>
      </w:r>
      <w:r>
        <w:rPr>
          <w:rFonts w:eastAsia="仿宋_GB2312"/>
          <w:sz w:val="24"/>
        </w:rPr>
        <w:t>200</w:t>
      </w:r>
      <w:r>
        <w:rPr>
          <w:rFonts w:eastAsia="仿宋_GB2312"/>
          <w:sz w:val="24"/>
        </w:rPr>
        <w:t>字左右的中文和英文摘要；</w:t>
      </w:r>
      <w:proofErr w:type="gramStart"/>
      <w:r>
        <w:rPr>
          <w:rFonts w:eastAsia="仿宋_GB2312"/>
          <w:sz w:val="24"/>
        </w:rPr>
        <w:t>第一页页角附作者</w:t>
      </w:r>
      <w:proofErr w:type="gramEnd"/>
      <w:r>
        <w:rPr>
          <w:rFonts w:eastAsia="仿宋_GB2312"/>
          <w:sz w:val="24"/>
        </w:rPr>
        <w:t>简介，内容包括姓名、性别、所属院系、导师和研究方向。排版要求清楚规范，格式要符合《西安电子科技大学学报》的发表要求</w:t>
      </w:r>
      <w:r>
        <w:rPr>
          <w:rFonts w:eastAsia="仿宋_GB2312" w:hint="eastAsia"/>
          <w:sz w:val="24"/>
        </w:rPr>
        <w:t>（可于西电学报网站“相关下载”或重点实验室网站“资料下载”专栏下载）</w:t>
      </w:r>
      <w:r>
        <w:rPr>
          <w:rFonts w:eastAsia="仿宋_GB2312"/>
          <w:sz w:val="24"/>
        </w:rPr>
        <w:t>。</w:t>
      </w:r>
    </w:p>
    <w:p w:rsidR="00BE4BE8" w:rsidRDefault="00BE4BE8" w:rsidP="00BE4BE8">
      <w:pPr>
        <w:spacing w:line="360" w:lineRule="auto"/>
        <w:ind w:firstLineChars="218" w:firstLine="523"/>
        <w:rPr>
          <w:rFonts w:eastAsia="仿宋_GB2312" w:hint="eastAsia"/>
          <w:sz w:val="24"/>
        </w:rPr>
      </w:pPr>
      <w:r>
        <w:rPr>
          <w:rFonts w:eastAsia="仿宋_GB2312"/>
          <w:sz w:val="24"/>
        </w:rPr>
        <w:t>6</w:t>
      </w:r>
      <w:r>
        <w:rPr>
          <w:rFonts w:eastAsia="仿宋_GB2312"/>
          <w:sz w:val="24"/>
        </w:rPr>
        <w:t>、论文提交需同时提交</w:t>
      </w:r>
      <w:r>
        <w:rPr>
          <w:rFonts w:eastAsia="仿宋_GB2312"/>
          <w:sz w:val="24"/>
        </w:rPr>
        <w:t>word</w:t>
      </w:r>
      <w:r>
        <w:rPr>
          <w:rFonts w:eastAsia="仿宋_GB2312"/>
          <w:sz w:val="24"/>
        </w:rPr>
        <w:t>与</w:t>
      </w:r>
      <w:r>
        <w:rPr>
          <w:rFonts w:eastAsia="仿宋_GB2312"/>
          <w:sz w:val="24"/>
        </w:rPr>
        <w:t>pdf</w:t>
      </w:r>
      <w:r>
        <w:rPr>
          <w:rFonts w:eastAsia="仿宋_GB2312"/>
          <w:b/>
          <w:color w:val="FF0000"/>
          <w:sz w:val="24"/>
        </w:rPr>
        <w:t>两</w:t>
      </w:r>
      <w:r>
        <w:rPr>
          <w:rFonts w:eastAsia="仿宋_GB2312" w:hint="eastAsia"/>
          <w:b/>
          <w:color w:val="FF0000"/>
          <w:sz w:val="24"/>
        </w:rPr>
        <w:t>份</w:t>
      </w:r>
      <w:r>
        <w:rPr>
          <w:rFonts w:eastAsia="仿宋_GB2312"/>
          <w:sz w:val="24"/>
        </w:rPr>
        <w:t>文件，</w:t>
      </w:r>
      <w:hyperlink r:id="rId5" w:history="1">
        <w:r w:rsidRPr="008E1B43">
          <w:rPr>
            <w:rFonts w:eastAsia="仿宋_GB2312" w:hint="eastAsia"/>
            <w:sz w:val="24"/>
          </w:rPr>
          <w:t>并发至邮箱</w:t>
        </w:r>
        <w:r w:rsidRPr="008E1B43">
          <w:rPr>
            <w:rFonts w:eastAsia="仿宋_GB2312" w:hint="eastAsia"/>
            <w:sz w:val="24"/>
          </w:rPr>
          <w:lastRenderedPageBreak/>
          <w:t>ampaper2012@163.com</w:t>
        </w:r>
      </w:hyperlink>
      <w:r w:rsidRPr="008E1B43">
        <w:rPr>
          <w:rFonts w:eastAsia="仿宋_GB2312" w:hint="eastAsia"/>
          <w:sz w:val="24"/>
        </w:rPr>
        <w:t>，</w:t>
      </w:r>
      <w:r>
        <w:rPr>
          <w:rFonts w:eastAsia="仿宋_GB2312" w:hint="eastAsia"/>
          <w:sz w:val="24"/>
        </w:rPr>
        <w:t>如提交论文已公开发表，请在邮件中明确说明已何时在何期刊杂志发表，</w:t>
      </w:r>
      <w:r w:rsidRPr="00CA52B5">
        <w:rPr>
          <w:rFonts w:eastAsia="仿宋_GB2312" w:hint="eastAsia"/>
          <w:sz w:val="24"/>
        </w:rPr>
        <w:t>另外请务必在邮件中留下</w:t>
      </w:r>
      <w:r w:rsidRPr="00CA52B5">
        <w:rPr>
          <w:rFonts w:eastAsia="仿宋_GB2312" w:hint="eastAsia"/>
          <w:b/>
          <w:color w:val="FF0000"/>
          <w:sz w:val="24"/>
        </w:rPr>
        <w:t>手机号码</w:t>
      </w:r>
      <w:r>
        <w:rPr>
          <w:rFonts w:eastAsia="仿宋_GB2312" w:hint="eastAsia"/>
          <w:sz w:val="24"/>
        </w:rPr>
        <w:t>。</w:t>
      </w:r>
    </w:p>
    <w:p w:rsidR="00BE4BE8" w:rsidRDefault="00BE4BE8" w:rsidP="00BE4BE8">
      <w:pPr>
        <w:spacing w:line="360" w:lineRule="auto"/>
        <w:ind w:firstLineChars="218" w:firstLine="523"/>
        <w:rPr>
          <w:rFonts w:eastAsia="仿宋_GB2312" w:hint="eastAsia"/>
          <w:sz w:val="24"/>
        </w:rPr>
      </w:pPr>
      <w:r>
        <w:rPr>
          <w:rFonts w:eastAsia="仿宋_GB2312" w:hint="eastAsia"/>
          <w:sz w:val="24"/>
        </w:rPr>
        <w:t>7</w:t>
      </w:r>
      <w:r>
        <w:rPr>
          <w:rFonts w:eastAsia="仿宋_GB2312" w:hint="eastAsia"/>
          <w:sz w:val="24"/>
        </w:rPr>
        <w:t>、论文</w:t>
      </w:r>
      <w:r>
        <w:rPr>
          <w:rFonts w:eastAsia="仿宋_GB2312"/>
          <w:sz w:val="24"/>
        </w:rPr>
        <w:t>提交时间</w:t>
      </w:r>
      <w:r>
        <w:rPr>
          <w:rFonts w:eastAsia="仿宋_GB2312"/>
          <w:b/>
          <w:sz w:val="24"/>
        </w:rPr>
        <w:t>为</w:t>
      </w:r>
      <w:r>
        <w:rPr>
          <w:rFonts w:eastAsia="仿宋_GB2312"/>
          <w:b/>
          <w:sz w:val="24"/>
        </w:rPr>
        <w:t>201</w:t>
      </w:r>
      <w:r>
        <w:rPr>
          <w:rFonts w:eastAsia="仿宋_GB2312" w:hint="eastAsia"/>
          <w:b/>
          <w:sz w:val="24"/>
        </w:rPr>
        <w:t>8</w:t>
      </w:r>
      <w:r>
        <w:rPr>
          <w:rFonts w:eastAsia="仿宋_GB2312"/>
          <w:b/>
          <w:sz w:val="24"/>
        </w:rPr>
        <w:t>年</w:t>
      </w:r>
      <w:r>
        <w:rPr>
          <w:rFonts w:eastAsia="仿宋_GB2312" w:hint="eastAsia"/>
          <w:b/>
          <w:sz w:val="24"/>
        </w:rPr>
        <w:t>10</w:t>
      </w:r>
      <w:r>
        <w:rPr>
          <w:rFonts w:eastAsia="仿宋_GB2312"/>
          <w:b/>
          <w:sz w:val="24"/>
        </w:rPr>
        <w:t>月</w:t>
      </w:r>
      <w:r>
        <w:rPr>
          <w:rFonts w:eastAsia="仿宋_GB2312" w:hint="eastAsia"/>
          <w:b/>
          <w:sz w:val="24"/>
        </w:rPr>
        <w:t>26</w:t>
      </w:r>
      <w:r>
        <w:rPr>
          <w:rFonts w:eastAsia="仿宋_GB2312"/>
          <w:b/>
          <w:sz w:val="24"/>
        </w:rPr>
        <w:t>日</w:t>
      </w:r>
      <w:r>
        <w:rPr>
          <w:rFonts w:eastAsia="仿宋_GB2312"/>
          <w:b/>
          <w:sz w:val="24"/>
        </w:rPr>
        <w:t>—201</w:t>
      </w:r>
      <w:r>
        <w:rPr>
          <w:rFonts w:eastAsia="仿宋_GB2312" w:hint="eastAsia"/>
          <w:b/>
          <w:sz w:val="24"/>
        </w:rPr>
        <w:t>8</w:t>
      </w:r>
      <w:r>
        <w:rPr>
          <w:rFonts w:eastAsia="仿宋_GB2312"/>
          <w:b/>
          <w:sz w:val="24"/>
        </w:rPr>
        <w:t>年</w:t>
      </w:r>
      <w:r>
        <w:rPr>
          <w:rFonts w:eastAsia="仿宋_GB2312"/>
          <w:b/>
          <w:sz w:val="24"/>
        </w:rPr>
        <w:t>11</w:t>
      </w:r>
      <w:r>
        <w:rPr>
          <w:rFonts w:eastAsia="仿宋_GB2312"/>
          <w:b/>
          <w:sz w:val="24"/>
        </w:rPr>
        <w:t>月</w:t>
      </w:r>
      <w:r>
        <w:rPr>
          <w:rFonts w:eastAsia="仿宋_GB2312" w:hint="eastAsia"/>
          <w:b/>
          <w:sz w:val="24"/>
        </w:rPr>
        <w:t>1</w:t>
      </w:r>
      <w:r>
        <w:rPr>
          <w:rFonts w:eastAsia="仿宋_GB2312"/>
          <w:b/>
          <w:sz w:val="24"/>
        </w:rPr>
        <w:t>日</w:t>
      </w:r>
      <w:r>
        <w:rPr>
          <w:rFonts w:eastAsia="仿宋_GB2312"/>
          <w:sz w:val="24"/>
        </w:rPr>
        <w:t>。</w:t>
      </w:r>
    </w:p>
    <w:p w:rsidR="00BE4BE8" w:rsidRDefault="00BE4BE8" w:rsidP="00BE4BE8">
      <w:pPr>
        <w:spacing w:line="360" w:lineRule="auto"/>
        <w:ind w:firstLineChars="218" w:firstLine="523"/>
        <w:rPr>
          <w:rFonts w:eastAsia="仿宋_GB2312"/>
          <w:sz w:val="24"/>
        </w:rPr>
      </w:pPr>
      <w:r>
        <w:rPr>
          <w:rFonts w:eastAsia="仿宋_GB2312" w:hint="eastAsia"/>
          <w:sz w:val="24"/>
        </w:rPr>
        <w:t>8</w:t>
      </w:r>
      <w:r>
        <w:rPr>
          <w:rFonts w:eastAsia="仿宋_GB2312"/>
          <w:sz w:val="24"/>
        </w:rPr>
        <w:t>、署名为</w:t>
      </w:r>
      <w:r>
        <w:rPr>
          <w:rFonts w:eastAsia="仿宋_GB2312"/>
          <w:sz w:val="24"/>
        </w:rPr>
        <w:t>“</w:t>
      </w:r>
      <w:r>
        <w:rPr>
          <w:rFonts w:eastAsia="仿宋_GB2312"/>
          <w:sz w:val="24"/>
        </w:rPr>
        <w:t>天线与微波技术重点实验室</w:t>
      </w:r>
      <w:r>
        <w:rPr>
          <w:rFonts w:eastAsia="仿宋_GB2312"/>
          <w:sz w:val="24"/>
        </w:rPr>
        <w:t>”</w:t>
      </w:r>
      <w:r>
        <w:rPr>
          <w:rFonts w:eastAsia="仿宋_GB2312"/>
          <w:sz w:val="24"/>
        </w:rPr>
        <w:t>。</w:t>
      </w:r>
    </w:p>
    <w:p w:rsidR="00BE4BE8" w:rsidRDefault="00BE4BE8" w:rsidP="00BE4BE8">
      <w:pPr>
        <w:spacing w:line="360" w:lineRule="auto"/>
        <w:ind w:firstLineChars="218" w:firstLine="523"/>
        <w:rPr>
          <w:rFonts w:eastAsia="仿宋_GB2312"/>
          <w:sz w:val="24"/>
        </w:rPr>
      </w:pPr>
      <w:r>
        <w:rPr>
          <w:rFonts w:eastAsia="仿宋_GB2312"/>
          <w:sz w:val="24"/>
        </w:rPr>
        <w:t>（三）优秀论文评选条件</w:t>
      </w:r>
    </w:p>
    <w:p w:rsidR="00BE4BE8" w:rsidRDefault="00BE4BE8" w:rsidP="00BE4BE8">
      <w:pPr>
        <w:spacing w:line="360" w:lineRule="auto"/>
        <w:ind w:firstLineChars="218" w:firstLine="523"/>
        <w:rPr>
          <w:rFonts w:eastAsia="仿宋_GB2312"/>
          <w:sz w:val="24"/>
        </w:rPr>
      </w:pPr>
      <w:r>
        <w:rPr>
          <w:rFonts w:eastAsia="仿宋_GB2312"/>
          <w:sz w:val="24"/>
        </w:rPr>
        <w:t>1</w:t>
      </w:r>
      <w:r>
        <w:rPr>
          <w:rFonts w:eastAsia="仿宋_GB2312"/>
          <w:sz w:val="24"/>
        </w:rPr>
        <w:t>、论文选题新颖，观点明确，内容充实，论据充分，论证合理，逻辑性强，有较高的理论价值和实际应用价值。</w:t>
      </w:r>
    </w:p>
    <w:p w:rsidR="00BE4BE8" w:rsidRDefault="00BE4BE8" w:rsidP="00BE4BE8">
      <w:pPr>
        <w:spacing w:line="360" w:lineRule="auto"/>
        <w:ind w:firstLineChars="218" w:firstLine="523"/>
        <w:rPr>
          <w:rFonts w:eastAsia="仿宋_GB2312"/>
          <w:sz w:val="24"/>
        </w:rPr>
      </w:pPr>
      <w:r>
        <w:rPr>
          <w:rFonts w:eastAsia="仿宋_GB2312"/>
          <w:sz w:val="24"/>
        </w:rPr>
        <w:t>2</w:t>
      </w:r>
      <w:r>
        <w:rPr>
          <w:rFonts w:eastAsia="仿宋_GB2312"/>
          <w:sz w:val="24"/>
        </w:rPr>
        <w:t>、论文反映了本学科的最新研究进展和成果，具有一定的创新性。</w:t>
      </w:r>
    </w:p>
    <w:p w:rsidR="00BE4BE8" w:rsidRDefault="00BE4BE8" w:rsidP="00BE4BE8">
      <w:pPr>
        <w:spacing w:line="360" w:lineRule="auto"/>
        <w:ind w:firstLineChars="218" w:firstLine="523"/>
        <w:rPr>
          <w:rFonts w:eastAsia="仿宋_GB2312"/>
          <w:sz w:val="24"/>
        </w:rPr>
      </w:pPr>
      <w:r>
        <w:rPr>
          <w:rFonts w:eastAsia="仿宋_GB2312"/>
          <w:sz w:val="24"/>
        </w:rPr>
        <w:t>3</w:t>
      </w:r>
      <w:r>
        <w:rPr>
          <w:rFonts w:eastAsia="仿宋_GB2312"/>
          <w:sz w:val="24"/>
        </w:rPr>
        <w:t>、论文写作规范，表述准确，格式符合《西安电子科技大学学报》发表论文的规范要求。</w:t>
      </w:r>
    </w:p>
    <w:p w:rsidR="00BE4BE8" w:rsidRDefault="00BE4BE8" w:rsidP="00BE4BE8">
      <w:pPr>
        <w:spacing w:line="360" w:lineRule="auto"/>
        <w:ind w:firstLineChars="218" w:firstLine="523"/>
        <w:rPr>
          <w:rFonts w:eastAsia="仿宋_GB2312"/>
          <w:sz w:val="24"/>
        </w:rPr>
      </w:pPr>
      <w:r>
        <w:rPr>
          <w:rFonts w:eastAsia="仿宋_GB2312"/>
          <w:sz w:val="24"/>
        </w:rPr>
        <w:t>4</w:t>
      </w:r>
      <w:r>
        <w:rPr>
          <w:rFonts w:eastAsia="仿宋_GB2312"/>
          <w:sz w:val="24"/>
        </w:rPr>
        <w:t>、论文遵循学术道德规范，无抄袭、剽窃等现象。</w:t>
      </w:r>
    </w:p>
    <w:p w:rsidR="00BE4BE8" w:rsidRDefault="00BE4BE8" w:rsidP="00BE4BE8">
      <w:pPr>
        <w:spacing w:line="360" w:lineRule="auto"/>
        <w:ind w:firstLineChars="218" w:firstLine="523"/>
        <w:rPr>
          <w:rFonts w:eastAsia="仿宋_GB2312"/>
          <w:sz w:val="24"/>
        </w:rPr>
      </w:pPr>
      <w:r>
        <w:rPr>
          <w:rFonts w:eastAsia="仿宋_GB2312"/>
          <w:sz w:val="24"/>
        </w:rPr>
        <w:t>5</w:t>
      </w:r>
      <w:r>
        <w:rPr>
          <w:rFonts w:eastAsia="仿宋_GB2312"/>
          <w:sz w:val="24"/>
        </w:rPr>
        <w:t>、论文涉及的内容无政治性错误，</w:t>
      </w:r>
      <w:r>
        <w:rPr>
          <w:rFonts w:eastAsia="仿宋_GB2312"/>
          <w:b/>
          <w:sz w:val="24"/>
        </w:rPr>
        <w:t>无国家保密事项</w:t>
      </w:r>
      <w:r>
        <w:rPr>
          <w:rFonts w:eastAsia="仿宋_GB2312"/>
          <w:sz w:val="24"/>
        </w:rPr>
        <w:t>。</w:t>
      </w:r>
    </w:p>
    <w:p w:rsidR="00BE4BE8" w:rsidRDefault="00BE4BE8" w:rsidP="00BE4BE8">
      <w:pPr>
        <w:spacing w:line="360" w:lineRule="auto"/>
        <w:ind w:firstLineChars="218" w:firstLine="523"/>
        <w:rPr>
          <w:rFonts w:eastAsia="仿宋_GB2312"/>
          <w:sz w:val="24"/>
        </w:rPr>
      </w:pPr>
      <w:r>
        <w:rPr>
          <w:rFonts w:eastAsia="仿宋_GB2312"/>
          <w:sz w:val="24"/>
        </w:rPr>
        <w:t>（四）优秀论文评选比例和方式</w:t>
      </w:r>
    </w:p>
    <w:p w:rsidR="00BE4BE8" w:rsidRDefault="00BE4BE8" w:rsidP="00BE4BE8">
      <w:pPr>
        <w:spacing w:line="360" w:lineRule="auto"/>
        <w:ind w:firstLineChars="218" w:firstLine="523"/>
        <w:rPr>
          <w:rFonts w:eastAsia="仿宋_GB2312"/>
          <w:sz w:val="24"/>
        </w:rPr>
      </w:pPr>
      <w:r>
        <w:rPr>
          <w:rFonts w:eastAsia="仿宋_GB2312"/>
          <w:sz w:val="24"/>
        </w:rPr>
        <w:t>1</w:t>
      </w:r>
      <w:r>
        <w:rPr>
          <w:rFonts w:eastAsia="仿宋_GB2312"/>
          <w:sz w:val="24"/>
        </w:rPr>
        <w:t>、重点实验室学术年会优秀论文评选比例</w:t>
      </w:r>
    </w:p>
    <w:p w:rsidR="00BE4BE8" w:rsidRDefault="00BE4BE8" w:rsidP="00BE4BE8">
      <w:pPr>
        <w:spacing w:line="360" w:lineRule="auto"/>
        <w:ind w:firstLineChars="218" w:firstLine="523"/>
        <w:rPr>
          <w:rFonts w:eastAsia="仿宋_GB2312"/>
          <w:sz w:val="24"/>
        </w:rPr>
      </w:pPr>
      <w:r>
        <w:rPr>
          <w:rFonts w:eastAsia="仿宋_GB2312"/>
          <w:sz w:val="24"/>
        </w:rPr>
        <w:t>优秀论文一等奖占</w:t>
      </w:r>
      <w:r>
        <w:rPr>
          <w:rFonts w:eastAsia="仿宋_GB2312" w:hint="eastAsia"/>
          <w:sz w:val="24"/>
        </w:rPr>
        <w:t>候选论文</w:t>
      </w:r>
      <w:r>
        <w:rPr>
          <w:rFonts w:eastAsia="仿宋_GB2312"/>
          <w:sz w:val="24"/>
        </w:rPr>
        <w:t>总数的</w:t>
      </w:r>
      <w:r>
        <w:rPr>
          <w:rFonts w:eastAsia="仿宋_GB2312" w:hint="eastAsia"/>
          <w:sz w:val="24"/>
        </w:rPr>
        <w:t>10</w:t>
      </w:r>
      <w:r>
        <w:rPr>
          <w:rFonts w:eastAsia="仿宋_GB2312"/>
          <w:sz w:val="24"/>
        </w:rPr>
        <w:t>%</w:t>
      </w:r>
      <w:r>
        <w:rPr>
          <w:rFonts w:eastAsia="仿宋_GB2312"/>
          <w:sz w:val="24"/>
        </w:rPr>
        <w:t>，奖励标准每篇</w:t>
      </w:r>
      <w:r>
        <w:rPr>
          <w:rFonts w:eastAsia="仿宋_GB2312" w:hint="eastAsia"/>
          <w:sz w:val="24"/>
        </w:rPr>
        <w:t>8</w:t>
      </w:r>
      <w:r>
        <w:rPr>
          <w:rFonts w:eastAsia="仿宋_GB2312"/>
          <w:sz w:val="24"/>
        </w:rPr>
        <w:t>00</w:t>
      </w:r>
      <w:r>
        <w:rPr>
          <w:rFonts w:eastAsia="仿宋_GB2312"/>
          <w:sz w:val="24"/>
        </w:rPr>
        <w:t>元。</w:t>
      </w:r>
    </w:p>
    <w:p w:rsidR="00BE4BE8" w:rsidRDefault="00BE4BE8" w:rsidP="00BE4BE8">
      <w:pPr>
        <w:spacing w:line="360" w:lineRule="auto"/>
        <w:ind w:firstLineChars="218" w:firstLine="523"/>
        <w:rPr>
          <w:rFonts w:eastAsia="仿宋_GB2312" w:hint="eastAsia"/>
          <w:sz w:val="24"/>
        </w:rPr>
      </w:pPr>
      <w:r>
        <w:rPr>
          <w:rFonts w:eastAsia="仿宋_GB2312"/>
          <w:sz w:val="24"/>
        </w:rPr>
        <w:t>优秀论文二等奖占</w:t>
      </w:r>
      <w:r>
        <w:rPr>
          <w:rFonts w:eastAsia="仿宋_GB2312" w:hint="eastAsia"/>
          <w:sz w:val="24"/>
        </w:rPr>
        <w:t>候选论文</w:t>
      </w:r>
      <w:r>
        <w:rPr>
          <w:rFonts w:eastAsia="仿宋_GB2312"/>
          <w:sz w:val="24"/>
        </w:rPr>
        <w:t>总数的</w:t>
      </w:r>
      <w:r>
        <w:rPr>
          <w:rFonts w:eastAsia="仿宋_GB2312" w:hint="eastAsia"/>
          <w:sz w:val="24"/>
        </w:rPr>
        <w:t>20</w:t>
      </w:r>
      <w:r>
        <w:rPr>
          <w:rFonts w:eastAsia="仿宋_GB2312"/>
          <w:sz w:val="24"/>
        </w:rPr>
        <w:t>%</w:t>
      </w:r>
      <w:r>
        <w:rPr>
          <w:rFonts w:eastAsia="仿宋_GB2312"/>
          <w:sz w:val="24"/>
        </w:rPr>
        <w:t>，奖励标准每篇</w:t>
      </w:r>
      <w:r>
        <w:rPr>
          <w:rFonts w:eastAsia="仿宋_GB2312" w:hint="eastAsia"/>
          <w:sz w:val="24"/>
        </w:rPr>
        <w:t>6</w:t>
      </w:r>
      <w:r>
        <w:rPr>
          <w:rFonts w:eastAsia="仿宋_GB2312"/>
          <w:sz w:val="24"/>
        </w:rPr>
        <w:t>00</w:t>
      </w:r>
      <w:r>
        <w:rPr>
          <w:rFonts w:eastAsia="仿宋_GB2312"/>
          <w:sz w:val="24"/>
        </w:rPr>
        <w:t>元。</w:t>
      </w:r>
    </w:p>
    <w:p w:rsidR="00BE4BE8" w:rsidRDefault="00BE4BE8" w:rsidP="00BE4BE8">
      <w:pPr>
        <w:spacing w:line="360" w:lineRule="auto"/>
        <w:ind w:firstLineChars="218" w:firstLine="523"/>
        <w:rPr>
          <w:rFonts w:eastAsia="仿宋_GB2312" w:hint="eastAsia"/>
          <w:sz w:val="24"/>
        </w:rPr>
      </w:pPr>
      <w:r>
        <w:rPr>
          <w:rFonts w:eastAsia="仿宋_GB2312"/>
          <w:sz w:val="24"/>
        </w:rPr>
        <w:t>优秀论文</w:t>
      </w:r>
      <w:r>
        <w:rPr>
          <w:rFonts w:eastAsia="仿宋_GB2312" w:hint="eastAsia"/>
          <w:sz w:val="24"/>
        </w:rPr>
        <w:t>三</w:t>
      </w:r>
      <w:r>
        <w:rPr>
          <w:rFonts w:eastAsia="仿宋_GB2312"/>
          <w:sz w:val="24"/>
        </w:rPr>
        <w:t>等奖占</w:t>
      </w:r>
      <w:r>
        <w:rPr>
          <w:rFonts w:eastAsia="仿宋_GB2312" w:hint="eastAsia"/>
          <w:sz w:val="24"/>
        </w:rPr>
        <w:t>候选论文</w:t>
      </w:r>
      <w:r>
        <w:rPr>
          <w:rFonts w:eastAsia="仿宋_GB2312"/>
          <w:sz w:val="24"/>
        </w:rPr>
        <w:t>总数的</w:t>
      </w:r>
      <w:r>
        <w:rPr>
          <w:rFonts w:eastAsia="仿宋_GB2312" w:hint="eastAsia"/>
          <w:sz w:val="24"/>
        </w:rPr>
        <w:t>30</w:t>
      </w:r>
      <w:r>
        <w:rPr>
          <w:rFonts w:eastAsia="仿宋_GB2312"/>
          <w:sz w:val="24"/>
        </w:rPr>
        <w:t>%</w:t>
      </w:r>
      <w:r>
        <w:rPr>
          <w:rFonts w:eastAsia="仿宋_GB2312"/>
          <w:sz w:val="24"/>
        </w:rPr>
        <w:t>，奖励标准每篇</w:t>
      </w:r>
      <w:r>
        <w:rPr>
          <w:rFonts w:eastAsia="仿宋_GB2312" w:hint="eastAsia"/>
          <w:sz w:val="24"/>
        </w:rPr>
        <w:t>4</w:t>
      </w:r>
      <w:r>
        <w:rPr>
          <w:rFonts w:eastAsia="仿宋_GB2312"/>
          <w:sz w:val="24"/>
        </w:rPr>
        <w:t>00</w:t>
      </w:r>
      <w:r>
        <w:rPr>
          <w:rFonts w:eastAsia="仿宋_GB2312"/>
          <w:sz w:val="24"/>
        </w:rPr>
        <w:t>元。</w:t>
      </w:r>
    </w:p>
    <w:p w:rsidR="00BE4BE8" w:rsidRDefault="00BE4BE8" w:rsidP="00BE4BE8">
      <w:pPr>
        <w:spacing w:line="360" w:lineRule="auto"/>
        <w:ind w:firstLineChars="218" w:firstLine="523"/>
        <w:rPr>
          <w:rFonts w:eastAsia="仿宋_GB2312"/>
          <w:sz w:val="24"/>
        </w:rPr>
      </w:pPr>
      <w:r>
        <w:rPr>
          <w:rFonts w:eastAsia="仿宋_GB2312" w:hint="eastAsia"/>
          <w:sz w:val="24"/>
        </w:rPr>
        <w:t>合计奖励比例为</w:t>
      </w:r>
      <w:r>
        <w:rPr>
          <w:rFonts w:eastAsia="仿宋_GB2312" w:hint="eastAsia"/>
          <w:b/>
          <w:sz w:val="24"/>
        </w:rPr>
        <w:t>60%</w:t>
      </w:r>
    </w:p>
    <w:p w:rsidR="00BE4BE8" w:rsidRDefault="00BE4BE8" w:rsidP="00BE4BE8">
      <w:pPr>
        <w:spacing w:line="360" w:lineRule="auto"/>
        <w:ind w:firstLineChars="218" w:firstLine="523"/>
        <w:rPr>
          <w:rFonts w:eastAsia="仿宋_GB2312"/>
          <w:sz w:val="24"/>
        </w:rPr>
      </w:pPr>
      <w:r>
        <w:rPr>
          <w:rFonts w:eastAsia="仿宋_GB2312"/>
          <w:sz w:val="24"/>
        </w:rPr>
        <w:t>2</w:t>
      </w:r>
      <w:r>
        <w:rPr>
          <w:rFonts w:eastAsia="仿宋_GB2312"/>
          <w:sz w:val="24"/>
        </w:rPr>
        <w:t>、推荐校级最佳论文奖表彰</w:t>
      </w:r>
    </w:p>
    <w:p w:rsidR="00BE4BE8" w:rsidRDefault="00BE4BE8" w:rsidP="00BE4BE8">
      <w:pPr>
        <w:spacing w:line="360" w:lineRule="auto"/>
        <w:ind w:firstLineChars="218" w:firstLine="523"/>
        <w:rPr>
          <w:rFonts w:eastAsia="仿宋_GB2312"/>
          <w:sz w:val="24"/>
        </w:rPr>
      </w:pPr>
      <w:r>
        <w:rPr>
          <w:rFonts w:eastAsia="仿宋_GB2312"/>
          <w:sz w:val="24"/>
        </w:rPr>
        <w:t>校级最佳论文奖的评选在本学术年会优秀论文的基础上进行评选推荐</w:t>
      </w:r>
      <w:r>
        <w:rPr>
          <w:rFonts w:eastAsia="仿宋_GB2312" w:hint="eastAsia"/>
          <w:sz w:val="24"/>
        </w:rPr>
        <w:t>，要求论文尚未公开发表。</w:t>
      </w:r>
      <w:r>
        <w:rPr>
          <w:rFonts w:eastAsia="仿宋_GB2312"/>
          <w:sz w:val="24"/>
        </w:rPr>
        <w:t>推荐文章提交至学院及研究生院，由其组织专家评议，以无记名投票的方式产生。校级最佳论文奖的奖励标准每篇</w:t>
      </w:r>
      <w:r>
        <w:rPr>
          <w:rFonts w:eastAsia="仿宋_GB2312"/>
          <w:sz w:val="24"/>
        </w:rPr>
        <w:t>1000</w:t>
      </w:r>
      <w:r>
        <w:rPr>
          <w:rFonts w:eastAsia="仿宋_GB2312"/>
          <w:sz w:val="24"/>
        </w:rPr>
        <w:t>元。</w:t>
      </w:r>
    </w:p>
    <w:p w:rsidR="00BE4BE8" w:rsidRDefault="00BE4BE8" w:rsidP="00BE4BE8">
      <w:pPr>
        <w:spacing w:line="360" w:lineRule="auto"/>
        <w:ind w:firstLineChars="218" w:firstLine="523"/>
        <w:rPr>
          <w:rFonts w:eastAsia="仿宋_GB2312"/>
          <w:sz w:val="24"/>
        </w:rPr>
      </w:pPr>
      <w:r>
        <w:rPr>
          <w:rFonts w:eastAsia="仿宋_GB2312"/>
          <w:sz w:val="24"/>
        </w:rPr>
        <w:t>校级最佳论文奖、院级优秀论文奖、以及重点实验室优秀论文奖将作为下一年度奖学奖助金评定优先考虑的重要参考指标。</w:t>
      </w:r>
    </w:p>
    <w:p w:rsidR="00BE4BE8" w:rsidRDefault="00BE4BE8" w:rsidP="00BE4BE8">
      <w:pPr>
        <w:spacing w:line="360" w:lineRule="auto"/>
        <w:ind w:firstLineChars="218" w:firstLine="523"/>
        <w:rPr>
          <w:rFonts w:eastAsia="仿宋_GB2312"/>
          <w:sz w:val="24"/>
        </w:rPr>
      </w:pPr>
      <w:r>
        <w:rPr>
          <w:rFonts w:eastAsia="仿宋_GB2312"/>
          <w:sz w:val="24"/>
        </w:rPr>
        <w:t>（</w:t>
      </w:r>
      <w:r>
        <w:rPr>
          <w:rFonts w:eastAsia="仿宋_GB2312" w:hint="eastAsia"/>
          <w:sz w:val="24"/>
        </w:rPr>
        <w:t>五</w:t>
      </w:r>
      <w:r>
        <w:rPr>
          <w:rFonts w:eastAsia="仿宋_GB2312"/>
          <w:sz w:val="24"/>
        </w:rPr>
        <w:t>）优秀</w:t>
      </w:r>
      <w:r>
        <w:rPr>
          <w:rFonts w:eastAsia="仿宋_GB2312" w:hint="eastAsia"/>
          <w:sz w:val="24"/>
        </w:rPr>
        <w:t>指导教师奖</w:t>
      </w:r>
    </w:p>
    <w:p w:rsidR="00BE4BE8" w:rsidRDefault="00BE4BE8" w:rsidP="00BE4BE8">
      <w:pPr>
        <w:spacing w:line="360" w:lineRule="auto"/>
        <w:ind w:firstLineChars="218" w:firstLine="523"/>
        <w:rPr>
          <w:rFonts w:eastAsia="仿宋_GB2312"/>
          <w:sz w:val="24"/>
        </w:rPr>
      </w:pPr>
      <w:r>
        <w:rPr>
          <w:rFonts w:eastAsia="仿宋_GB2312" w:hint="eastAsia"/>
          <w:sz w:val="24"/>
        </w:rPr>
        <w:t>设优秀指导教师奖</w:t>
      </w:r>
      <w:r>
        <w:rPr>
          <w:rFonts w:eastAsia="仿宋_GB2312" w:hint="eastAsia"/>
          <w:sz w:val="24"/>
        </w:rPr>
        <w:t>1~2</w:t>
      </w:r>
      <w:r>
        <w:rPr>
          <w:rFonts w:eastAsia="仿宋_GB2312" w:hint="eastAsia"/>
          <w:sz w:val="24"/>
        </w:rPr>
        <w:t>名，以所指导的学生投稿数量和质量为评判标准，每位奖励</w:t>
      </w:r>
      <w:r>
        <w:rPr>
          <w:rFonts w:eastAsia="仿宋_GB2312" w:hint="eastAsia"/>
          <w:sz w:val="24"/>
        </w:rPr>
        <w:t>1000</w:t>
      </w:r>
      <w:r>
        <w:rPr>
          <w:rFonts w:eastAsia="仿宋_GB2312"/>
          <w:sz w:val="24"/>
        </w:rPr>
        <w:t>元。</w:t>
      </w:r>
    </w:p>
    <w:p w:rsidR="00BE4BE8" w:rsidRDefault="00BE4BE8" w:rsidP="00BE4BE8"/>
    <w:p w:rsidR="00045901" w:rsidRPr="00BE4BE8" w:rsidRDefault="00045901">
      <w:bookmarkStart w:id="0" w:name="_GoBack"/>
      <w:bookmarkEnd w:id="0"/>
    </w:p>
    <w:sectPr w:rsidR="00045901" w:rsidRPr="00BE4BE8">
      <w:headerReference w:type="default" r:id="rId6"/>
      <w:footerReference w:type="default" r:id="rId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8B" w:rsidRDefault="00BE4BE8">
    <w:pPr>
      <w:pStyle w:val="a4"/>
      <w:pBdr>
        <w:top w:val="thinThickSmallGap" w:sz="24" w:space="1" w:color="622423"/>
      </w:pBdr>
      <w:jc w:val="center"/>
    </w:pPr>
    <w:r>
      <w:fldChar w:fldCharType="begin"/>
    </w:r>
    <w:r>
      <w:instrText xml:space="preserve"> PAGE   \* MERGEFORMAT </w:instrText>
    </w:r>
    <w:r>
      <w:fldChar w:fldCharType="separate"/>
    </w:r>
    <w:r w:rsidRPr="00BE4BE8">
      <w:rPr>
        <w:rFonts w:ascii="Cambria" w:hAnsi="Cambria"/>
        <w:noProof/>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8B" w:rsidRDefault="00BE4BE8">
    <w:pPr>
      <w:pStyle w:val="a3"/>
      <w:rPr>
        <w:rFonts w:ascii="Cambria" w:hAnsi="Cambria"/>
      </w:rPr>
    </w:pPr>
    <w:r>
      <w:rPr>
        <w:rFonts w:ascii="Cambria" w:hAnsi="Cambria" w:hint="eastAsia"/>
      </w:rPr>
      <w:t>201</w:t>
    </w:r>
    <w:r>
      <w:rPr>
        <w:rFonts w:ascii="Cambria" w:hAnsi="Cambria" w:hint="eastAsia"/>
      </w:rPr>
      <w:t>8</w:t>
    </w:r>
    <w:r>
      <w:rPr>
        <w:rFonts w:ascii="Cambria" w:hAnsi="Cambria" w:hint="eastAsia"/>
      </w:rPr>
      <w:t>年天线与微波技术重点实验室学术年会</w:t>
    </w:r>
  </w:p>
  <w:p w:rsidR="00B3648B" w:rsidRDefault="00BE4BE8">
    <w:pPr>
      <w:pStyle w:val="a3"/>
      <w:pBdr>
        <w:bottom w:val="none" w:sz="0" w:space="0" w:color="auto"/>
      </w:pBdr>
      <w:jc w:val="left"/>
    </w:pPr>
    <w:r>
      <w:rPr>
        <w:rFonts w:ascii="Cambria" w:hAnsi="Cambria"/>
        <w:noProof/>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761605" cy="822325"/>
              <wp:effectExtent l="9525" t="0" r="10795" b="0"/>
              <wp:wrapNone/>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1605" cy="822325"/>
                        <a:chOff x="0" y="0"/>
                        <a:chExt cx="15823" cy="1439"/>
                      </a:xfrm>
                    </wpg:grpSpPr>
                    <wps:wsp>
                      <wps:cNvPr id="4" name="AutoShape 4"/>
                      <wps:cNvCnPr/>
                      <wps:spPr bwMode="auto">
                        <a:xfrm>
                          <a:off x="1" y="1422"/>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0" y="0"/>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 o:spid="_x0000_s1026" style="position:absolute;left:0;text-align:left;margin-left:0;margin-top:0;width:611.15pt;height:64.75pt;z-index:251661312;mso-position-horizontal:center;mso-position-horizontal-relative:page;mso-position-vertical:top;mso-position-vertical-relative:page"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">
              <v:shapetype id="_x0000_t32" coordsize="21600,21600" o:spt="32" o:oned="t" path="m,l21600,21600e" filled="f">
                <v:path arrowok="t" fillok="f" o:connecttype="none"/>
                <o:lock v:ext="edit" shapetype="t"/>
              </v:shapetype>
              <v:shape id="AutoShape 4" o:spid="_x0000_s1027" type="#_x0000_t32" style="position:absolute;left:1;top:1422;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zm18UAAADaAAAADwAAAGRycy9kb3ducmV2LnhtbESPT2sCMRTE74V+h/AKXopmFSu6GsUW&#10;BKWl4J+Dx8fmuVncvCxJ1NVP3xQKPQ4z8xtmtmhtLa7kQ+VYQb+XgSAunK64VHDYr7pjECEia6wd&#10;k4I7BVjMn59mmGt34y1dd7EUCcIhRwUmxiaXMhSGLIaea4iTd3LeYkzSl1J7vCW4reUgy0bSYsVp&#10;wWBDH4aK8+5iFbx/rh7Dt/J74i+0eX2Yr+w4aM5KdV7a5RREpDb+h//aa61gCL9X0g2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zm18UAAADaAAAADwAAAAAAAAAA&#10;AAAAAAChAgAAZHJzL2Rvd25yZXYueG1sUEsFBgAAAAAEAAQA+QAAAJMDAAAAAA==&#10;" strokecolor="#31849b"/>
              <v:rect id="Rectangle 5" o:spid="_x0000_s1028" style="position:absolute;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v:group>
          </w:pict>
        </mc:Fallback>
      </mc:AlternateContent>
    </w:r>
    <w:r>
      <w:rPr>
        <w:rFonts w:ascii="Cambria" w:hAnsi="Cambria"/>
        <w:noProof/>
      </w:rPr>
      <mc:AlternateContent>
        <mc:Choice Requires="wps">
          <w:drawing>
            <wp:anchor distT="0" distB="0" distL="114300" distR="114300" simplePos="0" relativeHeight="251660288" behindDoc="0" locked="0" layoutInCell="1" allowOverlap="1">
              <wp:simplePos x="0" y="0"/>
              <wp:positionH relativeFrom="page">
                <wp:posOffset>6943090</wp:posOffset>
              </wp:positionH>
              <wp:positionV relativeFrom="page">
                <wp:posOffset>5080</wp:posOffset>
              </wp:positionV>
              <wp:extent cx="90805" cy="812800"/>
              <wp:effectExtent l="8890" t="5080" r="5080" b="1079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280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546.7pt;margin-top:.4pt;width:7.15pt;height: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" fillcolor="#4bacc6" strokecolor="#205867">
              <w10:wrap anchorx="page" anchory="page"/>
            </v:rect>
          </w:pict>
        </mc:Fallback>
      </mc:AlternateContent>
    </w:r>
    <w:r>
      <w:rPr>
        <w:rFonts w:ascii="Cambria" w:hAnsi="Cambria"/>
        <w:noProof/>
      </w:rPr>
      <mc:AlternateContent>
        <mc:Choice Requires="wps">
          <w:drawing>
            <wp:anchor distT="0" distB="0" distL="114300" distR="114300" simplePos="0" relativeHeight="251659264" behindDoc="0" locked="0" layoutInCell="1" allowOverlap="1">
              <wp:simplePos x="0" y="0"/>
              <wp:positionH relativeFrom="page">
                <wp:posOffset>525780</wp:posOffset>
              </wp:positionH>
              <wp:positionV relativeFrom="page">
                <wp:posOffset>5080</wp:posOffset>
              </wp:positionV>
              <wp:extent cx="90805" cy="812800"/>
              <wp:effectExtent l="11430" t="5080" r="12065" b="1079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280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41.4pt;margin-top:.4pt;width:7.15pt;height: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" fillcolor="#4bacc6" strokecolor="#205867">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E8"/>
    <w:rsid w:val="00045901"/>
    <w:rsid w:val="00BE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B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locked/>
    <w:rsid w:val="00BE4BE8"/>
    <w:rPr>
      <w:rFonts w:cs="Times New Roman"/>
      <w:sz w:val="18"/>
      <w:szCs w:val="18"/>
    </w:rPr>
  </w:style>
  <w:style w:type="character" w:customStyle="1" w:styleId="Char0">
    <w:name w:val="页脚 Char"/>
    <w:link w:val="a4"/>
    <w:uiPriority w:val="99"/>
    <w:locked/>
    <w:rsid w:val="00BE4BE8"/>
    <w:rPr>
      <w:rFonts w:cs="Times New Roman"/>
      <w:sz w:val="18"/>
      <w:szCs w:val="18"/>
    </w:rPr>
  </w:style>
  <w:style w:type="paragraph" w:styleId="a3">
    <w:name w:val="header"/>
    <w:basedOn w:val="a"/>
    <w:link w:val="Char"/>
    <w:uiPriority w:val="99"/>
    <w:rsid w:val="00BE4BE8"/>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1">
    <w:name w:val="页眉 Char1"/>
    <w:basedOn w:val="a0"/>
    <w:uiPriority w:val="99"/>
    <w:semiHidden/>
    <w:rsid w:val="00BE4BE8"/>
    <w:rPr>
      <w:rFonts w:ascii="Times New Roman" w:eastAsia="宋体" w:hAnsi="Times New Roman" w:cs="Times New Roman"/>
      <w:sz w:val="18"/>
      <w:szCs w:val="18"/>
    </w:rPr>
  </w:style>
  <w:style w:type="paragraph" w:styleId="a4">
    <w:name w:val="footer"/>
    <w:basedOn w:val="a"/>
    <w:link w:val="Char0"/>
    <w:uiPriority w:val="99"/>
    <w:rsid w:val="00BE4BE8"/>
    <w:pPr>
      <w:tabs>
        <w:tab w:val="center" w:pos="4153"/>
        <w:tab w:val="right" w:pos="8306"/>
      </w:tabs>
      <w:snapToGrid w:val="0"/>
      <w:jc w:val="left"/>
    </w:pPr>
    <w:rPr>
      <w:rFonts w:asciiTheme="minorHAnsi" w:eastAsiaTheme="minorEastAsia" w:hAnsiTheme="minorHAnsi"/>
      <w:sz w:val="18"/>
      <w:szCs w:val="18"/>
    </w:rPr>
  </w:style>
  <w:style w:type="character" w:customStyle="1" w:styleId="Char10">
    <w:name w:val="页脚 Char1"/>
    <w:basedOn w:val="a0"/>
    <w:uiPriority w:val="99"/>
    <w:semiHidden/>
    <w:rsid w:val="00BE4B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B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locked/>
    <w:rsid w:val="00BE4BE8"/>
    <w:rPr>
      <w:rFonts w:cs="Times New Roman"/>
      <w:sz w:val="18"/>
      <w:szCs w:val="18"/>
    </w:rPr>
  </w:style>
  <w:style w:type="character" w:customStyle="1" w:styleId="Char0">
    <w:name w:val="页脚 Char"/>
    <w:link w:val="a4"/>
    <w:uiPriority w:val="99"/>
    <w:locked/>
    <w:rsid w:val="00BE4BE8"/>
    <w:rPr>
      <w:rFonts w:cs="Times New Roman"/>
      <w:sz w:val="18"/>
      <w:szCs w:val="18"/>
    </w:rPr>
  </w:style>
  <w:style w:type="paragraph" w:styleId="a3">
    <w:name w:val="header"/>
    <w:basedOn w:val="a"/>
    <w:link w:val="Char"/>
    <w:uiPriority w:val="99"/>
    <w:rsid w:val="00BE4BE8"/>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1">
    <w:name w:val="页眉 Char1"/>
    <w:basedOn w:val="a0"/>
    <w:uiPriority w:val="99"/>
    <w:semiHidden/>
    <w:rsid w:val="00BE4BE8"/>
    <w:rPr>
      <w:rFonts w:ascii="Times New Roman" w:eastAsia="宋体" w:hAnsi="Times New Roman" w:cs="Times New Roman"/>
      <w:sz w:val="18"/>
      <w:szCs w:val="18"/>
    </w:rPr>
  </w:style>
  <w:style w:type="paragraph" w:styleId="a4">
    <w:name w:val="footer"/>
    <w:basedOn w:val="a"/>
    <w:link w:val="Char0"/>
    <w:uiPriority w:val="99"/>
    <w:rsid w:val="00BE4BE8"/>
    <w:pPr>
      <w:tabs>
        <w:tab w:val="center" w:pos="4153"/>
        <w:tab w:val="right" w:pos="8306"/>
      </w:tabs>
      <w:snapToGrid w:val="0"/>
      <w:jc w:val="left"/>
    </w:pPr>
    <w:rPr>
      <w:rFonts w:asciiTheme="minorHAnsi" w:eastAsiaTheme="minorEastAsia" w:hAnsiTheme="minorHAnsi"/>
      <w:sz w:val="18"/>
      <w:szCs w:val="18"/>
    </w:rPr>
  </w:style>
  <w:style w:type="character" w:customStyle="1" w:styleId="Char10">
    <w:name w:val="页脚 Char1"/>
    <w:basedOn w:val="a0"/>
    <w:uiPriority w:val="99"/>
    <w:semiHidden/>
    <w:rsid w:val="00BE4B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mailto:&#24182;&#21457;&#33267;&#37038;&#31665;ampaper2012@163.com"/>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1226</Characters>
  <Application>Microsoft Office Word</Application>
  <DocSecurity>0</DocSecurity>
  <Lines>10</Lines>
  <Paragraphs>2</Paragraphs>
  <ScaleCrop>false</ScaleCrop>
  <Company>微软中国</Company>
  <LinksUpToDate>false</LinksUpToDate>
  <CharactersWithSpaces>1438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2018-10-26T13:27:00Z</dcterms:created>
  <dc:creator>微软用户</dc:creator>
  <lastModifiedBy>微软用户</lastModifiedBy>
  <dcterms:modified xsi:type="dcterms:W3CDTF">2018-10-26T13:28:00Z</dcterms:modified>
  <revision>1</revision>
</coreProperties>
</file>