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97" w:rsidRDefault="00E67697" w:rsidP="00E67697">
      <w:pPr>
        <w:spacing w:line="576" w:lineRule="exact"/>
        <w:jc w:val="left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附件1</w:t>
      </w:r>
    </w:p>
    <w:p w:rsidR="00EE66A4" w:rsidRDefault="00EE66A4" w:rsidP="00EE66A4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人 才 分 类 标 准</w:t>
      </w:r>
    </w:p>
    <w:p w:rsidR="00EE66A4" w:rsidRDefault="00EE66A4" w:rsidP="00EE66A4">
      <w:pPr>
        <w:spacing w:line="576" w:lineRule="exact"/>
        <w:ind w:firstLineChars="200" w:firstLine="640"/>
        <w:jc w:val="center"/>
        <w:rPr>
          <w:rFonts w:ascii="仿宋" w:eastAsia="仿宋" w:hAnsi="仿宋" w:cs="Arial"/>
          <w:color w:val="000000"/>
          <w:kern w:val="0"/>
          <w:sz w:val="32"/>
          <w:szCs w:val="32"/>
        </w:rPr>
      </w:pPr>
    </w:p>
    <w:p w:rsidR="00EE66A4" w:rsidRDefault="00EE66A4" w:rsidP="00EE66A4">
      <w:pPr>
        <w:spacing w:line="576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A类人才：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国内外顶尖人才。包括诺贝尔奖获得者，国家最高科学技术奖获得者，中国科学院院士，中国工程院院士，中国社会科学院学部委员、荣誉学部委员，国家“万人计划”杰出人才人选，《外国人来华工作分类标准（试行）》中规定的入选国内人才引进计划、符合国际公认的专业成就认定标准的外国高端人才，以及相当于上述层次的顶尖人才。</w:t>
      </w:r>
    </w:p>
    <w:p w:rsidR="00EE66A4" w:rsidRDefault="00EE66A4" w:rsidP="00EE66A4">
      <w:pPr>
        <w:spacing w:line="576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B类人才：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国家级领军人才。包括国家“万人计划”中除杰出人才之外的人选，长江学者特聘教授，国家“千人计划”（不含青年“千人计划”）专家，国家级重点学科、重点实验室、工程研究（技术）中心、工程实验室学术技术带头人，在国内外担任重大科技项目的首席科学家、重大工程项目的首席工程技术专家和管理专家，国家杰出青年基金获得者，“新世纪百千万人才工程”国家级人选，国家科学技术进步奖一等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奖前</w:t>
      </w:r>
      <w:r>
        <w:rPr>
          <w:rFonts w:eastAsia="仿宋_GB2312"/>
          <w:color w:val="000000"/>
          <w:kern w:val="0"/>
          <w:sz w:val="32"/>
          <w:szCs w:val="32"/>
        </w:rPr>
        <w:t>5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名，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《外国人来华工作分类标准（试行）》中规定的符合鼓励类岗位需求人才、外国创新创业人才、外国优秀青年人才三类标准的外国高端人才，以及相当于上述层次的国家级领军人才。</w:t>
      </w:r>
    </w:p>
    <w:p w:rsidR="00EE66A4" w:rsidRDefault="00EE66A4" w:rsidP="00EE66A4">
      <w:pPr>
        <w:spacing w:line="576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C类人才：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地方级领军人才。包括国家青年“千人计划”专家，国家优秀青年基金获得者、教育部青年长江学者，陕西省“百人计划”人选，国家科学技术进步奖二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等奖前</w:t>
      </w:r>
      <w:r>
        <w:rPr>
          <w:rFonts w:eastAsia="仿宋_GB2312"/>
          <w:color w:val="000000"/>
          <w:kern w:val="0"/>
          <w:sz w:val="32"/>
          <w:szCs w:val="32"/>
        </w:rPr>
        <w:t>5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名，享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受国务院特殊津贴人员，国家级高等学校教学</w:t>
      </w:r>
      <w:proofErr w:type="gramStart"/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名师奖</w:t>
      </w:r>
      <w:proofErr w:type="gramEnd"/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获得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lastRenderedPageBreak/>
        <w:t>者，全国模范教师，中华技能大奖获得者，全国技术能手，国家级技能大师工作室领衔人，以及相当于上述层次的地方级领军人才。</w:t>
      </w:r>
    </w:p>
    <w:p w:rsidR="00EE66A4" w:rsidRDefault="00EE66A4" w:rsidP="00EE66A4">
      <w:pPr>
        <w:spacing w:line="576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D类人才：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围绕“</w:t>
      </w:r>
      <w:r>
        <w:rPr>
          <w:rFonts w:eastAsia="仿宋_GB2312"/>
          <w:color w:val="000000"/>
          <w:kern w:val="0"/>
          <w:sz w:val="32"/>
          <w:szCs w:val="32"/>
        </w:rPr>
        <w:t>364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”产业体系、“三区双创”及资本运作、上市辅导、自贸区管理、军民融合、旅游开发、教育医疗、文化创意、艺术创作等领域所需的创新型人才和紧缺型人才。包括在世界</w:t>
      </w:r>
      <w:r>
        <w:rPr>
          <w:rFonts w:eastAsia="仿宋_GB2312"/>
          <w:color w:val="000000"/>
          <w:kern w:val="0"/>
          <w:sz w:val="32"/>
          <w:szCs w:val="32"/>
        </w:rPr>
        <w:t>500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强、行业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强企业中担任中层及以上职务的高级管理、高级技术人才；在中国</w:t>
      </w:r>
      <w:r>
        <w:rPr>
          <w:rFonts w:eastAsia="仿宋_GB2312"/>
          <w:color w:val="000000"/>
          <w:kern w:val="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强、行业</w:t>
      </w:r>
      <w:r>
        <w:rPr>
          <w:rFonts w:eastAsia="仿宋_GB2312"/>
          <w:color w:val="000000"/>
          <w:kern w:val="0"/>
          <w:sz w:val="32"/>
          <w:szCs w:val="32"/>
        </w:rPr>
        <w:t>10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强企业中担任中层及以上职务的高级管理、高级技术人才；省级、地市级和行业（部级）技能大奖、技术能手、工匠大师称号获得者；具有高级职称、高级技师等相应职级的人员；被西安用人单位聘用并给予年薪</w:t>
      </w:r>
      <w:r>
        <w:rPr>
          <w:rFonts w:eastAsia="仿宋_GB2312"/>
          <w:color w:val="000000"/>
          <w:kern w:val="0"/>
          <w:sz w:val="32"/>
          <w:szCs w:val="32"/>
        </w:rPr>
        <w:t>30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万元以上待遇的人员；牵头创办注册资本</w:t>
      </w:r>
      <w:r>
        <w:rPr>
          <w:rFonts w:eastAsia="仿宋_GB2312"/>
          <w:color w:val="000000"/>
          <w:kern w:val="0"/>
          <w:sz w:val="32"/>
          <w:szCs w:val="32"/>
        </w:rPr>
        <w:t>100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万元以上，吸引就业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人以上，年创造税收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万元以上的企业法人；获得博士学位的人员；获得排名全球前</w:t>
      </w:r>
      <w:r>
        <w:rPr>
          <w:rFonts w:eastAsia="仿宋_GB2312"/>
          <w:color w:val="000000"/>
          <w:kern w:val="0"/>
          <w:sz w:val="32"/>
          <w:szCs w:val="32"/>
        </w:rPr>
        <w:t>200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名高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校硕士以上学位的海外留学人员。</w:t>
      </w:r>
    </w:p>
    <w:p w:rsidR="00EE66A4" w:rsidRDefault="00EE66A4" w:rsidP="00EE66A4">
      <w:pPr>
        <w:spacing w:line="576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E类人才：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产业发展与科技创新类实用性人才和特殊技能人才。包括具有硕士、学士学位，中级职称、技师等相应职级的人员。</w:t>
      </w:r>
    </w:p>
    <w:p w:rsidR="00EE66A4" w:rsidRDefault="00EE66A4" w:rsidP="00EE66A4"/>
    <w:p w:rsidR="00EE66A4" w:rsidRPr="00964F7C" w:rsidRDefault="00EE66A4" w:rsidP="00EE66A4">
      <w:bookmarkStart w:id="0" w:name="_GoBack"/>
      <w:bookmarkEnd w:id="0"/>
    </w:p>
    <w:sectPr w:rsidR="00EE66A4" w:rsidRPr="00964F7C" w:rsidSect="009B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74" w:rsidRDefault="006D6B74" w:rsidP="00EE66A4">
      <w:r>
        <w:separator/>
      </w:r>
    </w:p>
  </w:endnote>
  <w:endnote w:type="continuationSeparator" w:id="0">
    <w:p w:rsidR="006D6B74" w:rsidRDefault="006D6B74" w:rsidP="00EE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74" w:rsidRDefault="006D6B74" w:rsidP="00EE66A4">
      <w:r>
        <w:separator/>
      </w:r>
    </w:p>
  </w:footnote>
  <w:footnote w:type="continuationSeparator" w:id="0">
    <w:p w:rsidR="006D6B74" w:rsidRDefault="006D6B74" w:rsidP="00EE6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D896E"/>
    <w:multiLevelType w:val="singleLevel"/>
    <w:tmpl w:val="596D896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40"/>
    <w:rsid w:val="00005E5F"/>
    <w:rsid w:val="00011FFC"/>
    <w:rsid w:val="00017BC7"/>
    <w:rsid w:val="0003632E"/>
    <w:rsid w:val="00065890"/>
    <w:rsid w:val="00081BE1"/>
    <w:rsid w:val="000C4101"/>
    <w:rsid w:val="000E2113"/>
    <w:rsid w:val="00102442"/>
    <w:rsid w:val="00104A6F"/>
    <w:rsid w:val="0012590D"/>
    <w:rsid w:val="00152DB3"/>
    <w:rsid w:val="001A5D0E"/>
    <w:rsid w:val="001A70E1"/>
    <w:rsid w:val="002105E9"/>
    <w:rsid w:val="002464CA"/>
    <w:rsid w:val="00270CEE"/>
    <w:rsid w:val="002B71D4"/>
    <w:rsid w:val="002C4D04"/>
    <w:rsid w:val="002C7A97"/>
    <w:rsid w:val="002D71F0"/>
    <w:rsid w:val="002E3DE6"/>
    <w:rsid w:val="00324FD2"/>
    <w:rsid w:val="0035609C"/>
    <w:rsid w:val="00372F15"/>
    <w:rsid w:val="003D5798"/>
    <w:rsid w:val="00404192"/>
    <w:rsid w:val="004120C8"/>
    <w:rsid w:val="00436368"/>
    <w:rsid w:val="00440818"/>
    <w:rsid w:val="00456766"/>
    <w:rsid w:val="0046343D"/>
    <w:rsid w:val="00464BFD"/>
    <w:rsid w:val="004A1833"/>
    <w:rsid w:val="005062B2"/>
    <w:rsid w:val="00522CBC"/>
    <w:rsid w:val="0053663D"/>
    <w:rsid w:val="00541299"/>
    <w:rsid w:val="00557C99"/>
    <w:rsid w:val="005621A3"/>
    <w:rsid w:val="00594216"/>
    <w:rsid w:val="005A6340"/>
    <w:rsid w:val="005E40BF"/>
    <w:rsid w:val="005E5C87"/>
    <w:rsid w:val="005E6F7A"/>
    <w:rsid w:val="005E781E"/>
    <w:rsid w:val="006053B9"/>
    <w:rsid w:val="00670146"/>
    <w:rsid w:val="0068194E"/>
    <w:rsid w:val="006979DE"/>
    <w:rsid w:val="006D6B74"/>
    <w:rsid w:val="00702C51"/>
    <w:rsid w:val="0071075F"/>
    <w:rsid w:val="00794579"/>
    <w:rsid w:val="0079734E"/>
    <w:rsid w:val="007B61AC"/>
    <w:rsid w:val="007F693D"/>
    <w:rsid w:val="00830061"/>
    <w:rsid w:val="00872911"/>
    <w:rsid w:val="00876051"/>
    <w:rsid w:val="008B13F7"/>
    <w:rsid w:val="008C574F"/>
    <w:rsid w:val="008F4297"/>
    <w:rsid w:val="009128B1"/>
    <w:rsid w:val="00957DD6"/>
    <w:rsid w:val="00964F7C"/>
    <w:rsid w:val="009A0FC3"/>
    <w:rsid w:val="00A034EC"/>
    <w:rsid w:val="00A03EDF"/>
    <w:rsid w:val="00A109CE"/>
    <w:rsid w:val="00A10E6D"/>
    <w:rsid w:val="00A32173"/>
    <w:rsid w:val="00A35B17"/>
    <w:rsid w:val="00A51997"/>
    <w:rsid w:val="00A82860"/>
    <w:rsid w:val="00A85BAB"/>
    <w:rsid w:val="00AC4C1D"/>
    <w:rsid w:val="00AC7DBD"/>
    <w:rsid w:val="00AF713A"/>
    <w:rsid w:val="00B03F63"/>
    <w:rsid w:val="00B14059"/>
    <w:rsid w:val="00B82704"/>
    <w:rsid w:val="00BB4D12"/>
    <w:rsid w:val="00BC0B47"/>
    <w:rsid w:val="00BC30AA"/>
    <w:rsid w:val="00BC4605"/>
    <w:rsid w:val="00BC4796"/>
    <w:rsid w:val="00BE00FC"/>
    <w:rsid w:val="00BE4FD8"/>
    <w:rsid w:val="00C27197"/>
    <w:rsid w:val="00C31090"/>
    <w:rsid w:val="00C31178"/>
    <w:rsid w:val="00C37763"/>
    <w:rsid w:val="00C51B86"/>
    <w:rsid w:val="00C52F20"/>
    <w:rsid w:val="00C867A1"/>
    <w:rsid w:val="00CA220E"/>
    <w:rsid w:val="00CB736F"/>
    <w:rsid w:val="00D34CBE"/>
    <w:rsid w:val="00D82FAA"/>
    <w:rsid w:val="00D837B1"/>
    <w:rsid w:val="00DA1BC9"/>
    <w:rsid w:val="00DB6C25"/>
    <w:rsid w:val="00DB783E"/>
    <w:rsid w:val="00DD35B5"/>
    <w:rsid w:val="00DF7240"/>
    <w:rsid w:val="00E014FB"/>
    <w:rsid w:val="00E37AF8"/>
    <w:rsid w:val="00E41BDE"/>
    <w:rsid w:val="00E621D0"/>
    <w:rsid w:val="00E67697"/>
    <w:rsid w:val="00EB34E2"/>
    <w:rsid w:val="00EC5A6A"/>
    <w:rsid w:val="00EE66A4"/>
    <w:rsid w:val="00F0203A"/>
    <w:rsid w:val="00F76808"/>
    <w:rsid w:val="00FA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6A4"/>
    <w:rPr>
      <w:sz w:val="18"/>
      <w:szCs w:val="18"/>
    </w:rPr>
  </w:style>
  <w:style w:type="character" w:customStyle="1" w:styleId="font21">
    <w:name w:val="font2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71075F"/>
    <w:pPr>
      <w:ind w:firstLineChars="200" w:firstLine="420"/>
    </w:pPr>
  </w:style>
  <w:style w:type="paragraph" w:styleId="a6">
    <w:name w:val="Body Text"/>
    <w:basedOn w:val="a"/>
    <w:link w:val="Char1"/>
    <w:uiPriority w:val="99"/>
    <w:unhideWhenUsed/>
    <w:rsid w:val="00E67697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uiPriority w:val="99"/>
    <w:rsid w:val="00E67697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39"/>
    <w:rsid w:val="00E676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E6769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6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6A4"/>
    <w:rPr>
      <w:sz w:val="18"/>
      <w:szCs w:val="18"/>
    </w:rPr>
  </w:style>
  <w:style w:type="character" w:customStyle="1" w:styleId="font21">
    <w:name w:val="font2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EE66A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71075F"/>
    <w:pPr>
      <w:ind w:firstLineChars="200" w:firstLine="420"/>
    </w:pPr>
  </w:style>
  <w:style w:type="paragraph" w:styleId="a6">
    <w:name w:val="Body Text"/>
    <w:basedOn w:val="a"/>
    <w:link w:val="Char1"/>
    <w:uiPriority w:val="99"/>
    <w:unhideWhenUsed/>
    <w:rsid w:val="00E67697"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uiPriority w:val="99"/>
    <w:rsid w:val="00E67697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39"/>
    <w:rsid w:val="00E6769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E6769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841</Characters>
  <Application>Microsoft Office Word</Application>
  <DocSecurity>0</DocSecurity>
  <Lines>7</Lines>
  <Paragraphs>1</Paragraphs>
  <ScaleCrop>false</ScaleCrop>
  <Company>China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2017-07-18T08:53:00Z</dcterms:created>
  <dc:creator>User</dc:creator>
  <lastModifiedBy>PC</lastModifiedBy>
  <dcterms:modified xsi:type="dcterms:W3CDTF">2017-07-18T12:04:00Z</dcterms:modified>
  <revision>4</revision>
</coreProperties>
</file>